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681105" r:id="rId9"/>
              </w:object>
            </w:r>
          </w:p>
        </w:tc>
        <w:tc>
          <w:tcPr>
            <w:tcW w:w="7903" w:type="dxa"/>
          </w:tcPr>
          <w:p w:rsidR="00D22248" w:rsidRPr="00747F3F" w:rsidRDefault="008178F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Triangoli rettangoli</w:t>
            </w:r>
          </w:p>
        </w:tc>
      </w:tr>
    </w:tbl>
    <w:p w:rsidR="00E241DB" w:rsidRDefault="00E241DB" w:rsidP="00424AB8"/>
    <w:p w:rsidR="00A7082F" w:rsidRPr="00D05864" w:rsidRDefault="00A7082F" w:rsidP="00D05864">
      <w:pPr>
        <w:pStyle w:val="Paragrafoelenco"/>
        <w:numPr>
          <w:ilvl w:val="0"/>
          <w:numId w:val="47"/>
        </w:numPr>
        <w:rPr>
          <w:b/>
        </w:rPr>
      </w:pPr>
      <w:r w:rsidRPr="00D05864">
        <w:rPr>
          <w:b/>
        </w:rPr>
        <w:t xml:space="preserve">I nomi dei lati dei triangoli rettangoli. </w:t>
      </w:r>
    </w:p>
    <w:p w:rsidR="00A7082F" w:rsidRDefault="00A7082F" w:rsidP="00424AB8">
      <w:pPr>
        <w:rPr>
          <w:rFonts w:ascii="Arial" w:hAnsi="Arial" w:cs="Arial"/>
          <w:color w:val="000000"/>
        </w:rPr>
      </w:pPr>
    </w:p>
    <w:p w:rsidR="00767E98" w:rsidRDefault="00A7082F" w:rsidP="00A7082F">
      <w:r>
        <w:t>Colora di rosso il lato maggiore dei seguenti triangoli rettangoli e poi colora di blu gli altri due lati.</w:t>
      </w:r>
      <w:r>
        <w:br/>
      </w:r>
    </w:p>
    <w:p w:rsidR="00A7082F" w:rsidRDefault="00A7082F" w:rsidP="00A7082F">
      <w:r>
        <w:rPr>
          <w:noProof/>
          <w:lang w:val="it-CH" w:eastAsia="it-CH"/>
        </w:rPr>
        <w:drawing>
          <wp:inline distT="0" distB="0" distL="0" distR="0">
            <wp:extent cx="5760085" cy="143002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oli_rettangol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2F" w:rsidRDefault="00A7082F" w:rsidP="00A7082F"/>
    <w:p w:rsidR="00D05864" w:rsidRDefault="00D05864" w:rsidP="00A7082F"/>
    <w:p w:rsidR="00A7082F" w:rsidRDefault="00A7082F" w:rsidP="00A7082F">
      <w:r>
        <w:t xml:space="preserve">I due lati minori di un triangolo rettangolo sono quelli che delimitano l’angolo </w:t>
      </w:r>
      <w:r>
        <w:t>retto.</w:t>
      </w:r>
      <w:r>
        <w:br/>
      </w:r>
      <w:r>
        <w:t xml:space="preserve">Si chiamano </w:t>
      </w:r>
      <w:r w:rsidRPr="00A7082F">
        <w:rPr>
          <w:b/>
        </w:rPr>
        <w:t>cateti</w:t>
      </w:r>
      <w:r>
        <w:t xml:space="preserve"> (nel disegno sono i lati blu di ogni triangolo). </w:t>
      </w:r>
      <w:r>
        <w:br/>
      </w:r>
      <w:r>
        <w:t xml:space="preserve">Il lato maggiore del triangolo rettangolo è invece quello opposto all’angolo </w:t>
      </w:r>
      <w:r>
        <w:t>retto.</w:t>
      </w:r>
      <w:r>
        <w:br/>
      </w:r>
      <w:r>
        <w:t xml:space="preserve">Si chiama </w:t>
      </w:r>
      <w:r w:rsidRPr="00A7082F">
        <w:rPr>
          <w:b/>
        </w:rPr>
        <w:t>ipotenusa</w:t>
      </w:r>
      <w:r>
        <w:t xml:space="preserve"> (nel disegno è il lato rosso di ogni triangolo).</w:t>
      </w:r>
    </w:p>
    <w:p w:rsidR="00A7082F" w:rsidRDefault="00A7082F" w:rsidP="00A7082F"/>
    <w:p w:rsidR="00D05864" w:rsidRDefault="00D05864" w:rsidP="00A7082F"/>
    <w:p w:rsidR="00D05864" w:rsidRPr="00D05864" w:rsidRDefault="00D05864" w:rsidP="00D05864">
      <w:pPr>
        <w:pStyle w:val="Paragrafoelenco"/>
        <w:numPr>
          <w:ilvl w:val="0"/>
          <w:numId w:val="47"/>
        </w:numPr>
        <w:rPr>
          <w:b/>
        </w:rPr>
      </w:pPr>
      <w:r w:rsidRPr="00D05864">
        <w:rPr>
          <w:b/>
        </w:rPr>
        <w:t xml:space="preserve">Gli angoli acuti di un triangolo rettangolo. </w:t>
      </w:r>
    </w:p>
    <w:p w:rsidR="00D05864" w:rsidRDefault="00D05864" w:rsidP="00D05864"/>
    <w:p w:rsidR="00D05864" w:rsidRDefault="00D05864" w:rsidP="00D05864">
      <w:r>
        <w:t>Anche nei triangoli rettangoli le ampiezze degli angoli interni sommate danno 180°. L’angolo retto misura 90°; la somma delle ampiezze degli altri due deve essere</w:t>
      </w:r>
      <w:r>
        <w:t xml:space="preserve"> quindi di 90°.</w:t>
      </w:r>
      <w:r>
        <w:br/>
      </w:r>
      <w:r>
        <w:br/>
      </w:r>
    </w:p>
    <w:p w:rsidR="00D05864" w:rsidRDefault="00D05864" w:rsidP="00D05864">
      <w:r>
        <w:rPr>
          <w:noProof/>
          <w:lang w:val="it-CH" w:eastAsia="it-CH"/>
        </w:rPr>
        <w:drawing>
          <wp:inline distT="0" distB="0" distL="0" distR="0">
            <wp:extent cx="5760085" cy="221424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i_triangol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64" w:rsidRDefault="00D05864" w:rsidP="00D05864"/>
    <w:p w:rsidR="00D05864" w:rsidRDefault="00D05864" w:rsidP="00D05864"/>
    <w:p w:rsidR="00D05864" w:rsidRDefault="00D05864" w:rsidP="00D05864"/>
    <w:p w:rsidR="00D05864" w:rsidRDefault="00D05864" w:rsidP="00D05864"/>
    <w:p w:rsidR="00D05864" w:rsidRPr="00D05864" w:rsidRDefault="00D05864" w:rsidP="00D05864">
      <w:pPr>
        <w:rPr>
          <w:b/>
        </w:rPr>
      </w:pPr>
      <w:r w:rsidRPr="00D05864">
        <w:rPr>
          <w:b/>
        </w:rPr>
        <w:t>Esercizi:</w:t>
      </w:r>
    </w:p>
    <w:p w:rsidR="00D05864" w:rsidRDefault="00D05864" w:rsidP="00D05864">
      <w:pPr>
        <w:pStyle w:val="ESERCIZIO1"/>
      </w:pPr>
      <w:r>
        <w:t>Nelle figure seguenti colora un triangolo rettangolo e metti in evidenza l'ipotenusa.</w:t>
      </w:r>
      <w:r>
        <w:br/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>
            <wp:extent cx="5760085" cy="22707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oli_rettangoli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9D">
        <w:br/>
      </w:r>
    </w:p>
    <w:p w:rsidR="00D05864" w:rsidRDefault="00BC6C9D" w:rsidP="00BC6C9D">
      <w:pPr>
        <w:pStyle w:val="ESERCIZIO1"/>
      </w:pPr>
      <w:r>
        <w:t>Completa in ognuno dei seguenti casi il triangolo rettangolo, in modo che il segmento evidenziato sia un cateto. Il vertice mancante deve trovarsi nell’estremo di un segmento rappresentato nella figura.</w:t>
      </w:r>
      <w:r>
        <w:br/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>
            <wp:extent cx="5760085" cy="221361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geometrich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9D" w:rsidRDefault="00BC6C9D" w:rsidP="00BC6C9D">
      <w:pPr>
        <w:pStyle w:val="ESERCIZIO1"/>
      </w:pPr>
      <w:r>
        <w:t>Nelle figure seguenti completa il triangolo rettangolo, in modo che il segmento evidenziato sia l’ipotenusa e il vertice dell’angolo retto sia sulle diagonali del quadrilatero.</w:t>
      </w:r>
      <w:r>
        <w:br/>
      </w:r>
      <w:bookmarkStart w:id="0" w:name="_GoBack"/>
      <w:bookmarkEnd w:id="0"/>
      <w:r>
        <w:br/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>
            <wp:extent cx="5760085" cy="11430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b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9D" w:rsidSect="00767E98">
      <w:headerReference w:type="even" r:id="rId15"/>
      <w:headerReference w:type="default" r:id="rId16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CF" w:rsidRDefault="005055CF">
      <w:r>
        <w:separator/>
      </w:r>
    </w:p>
  </w:endnote>
  <w:endnote w:type="continuationSeparator" w:id="0">
    <w:p w:rsidR="005055CF" w:rsidRDefault="0050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CF" w:rsidRDefault="005055CF">
      <w:r>
        <w:separator/>
      </w:r>
    </w:p>
  </w:footnote>
  <w:footnote w:type="continuationSeparator" w:id="0">
    <w:p w:rsidR="005055CF" w:rsidRDefault="0050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867C1B"/>
    <w:multiLevelType w:val="hybridMultilevel"/>
    <w:tmpl w:val="6B344944"/>
    <w:lvl w:ilvl="0" w:tplc="45FC5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6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9"/>
  </w:num>
  <w:num w:numId="12">
    <w:abstractNumId w:val="17"/>
  </w:num>
  <w:num w:numId="13">
    <w:abstractNumId w:val="29"/>
  </w:num>
  <w:num w:numId="14">
    <w:abstractNumId w:val="6"/>
  </w:num>
  <w:num w:numId="15">
    <w:abstractNumId w:val="7"/>
  </w:num>
  <w:num w:numId="16">
    <w:abstractNumId w:val="2"/>
  </w:num>
  <w:num w:numId="17">
    <w:abstractNumId w:val="24"/>
  </w:num>
  <w:num w:numId="18">
    <w:abstractNumId w:val="37"/>
  </w:num>
  <w:num w:numId="19">
    <w:abstractNumId w:val="11"/>
  </w:num>
  <w:num w:numId="20">
    <w:abstractNumId w:val="5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9"/>
  </w:num>
  <w:num w:numId="27">
    <w:abstractNumId w:val="25"/>
  </w:num>
  <w:num w:numId="28">
    <w:abstractNumId w:val="10"/>
  </w:num>
  <w:num w:numId="29">
    <w:abstractNumId w:val="20"/>
  </w:num>
  <w:num w:numId="30">
    <w:abstractNumId w:val="12"/>
  </w:num>
  <w:num w:numId="31">
    <w:abstractNumId w:val="27"/>
  </w:num>
  <w:num w:numId="32">
    <w:abstractNumId w:val="35"/>
  </w:num>
  <w:num w:numId="33">
    <w:abstractNumId w:val="18"/>
  </w:num>
  <w:num w:numId="34">
    <w:abstractNumId w:val="3"/>
  </w:num>
  <w:num w:numId="35">
    <w:abstractNumId w:val="0"/>
  </w:num>
  <w:num w:numId="36">
    <w:abstractNumId w:val="34"/>
  </w:num>
  <w:num w:numId="37">
    <w:abstractNumId w:val="16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1"/>
  </w:num>
  <w:num w:numId="43">
    <w:abstractNumId w:val="8"/>
  </w:num>
  <w:num w:numId="44">
    <w:abstractNumId w:val="15"/>
  </w:num>
  <w:num w:numId="45">
    <w:abstractNumId w:val="38"/>
  </w:num>
  <w:num w:numId="46">
    <w:abstractNumId w:val="1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055CF"/>
    <w:rsid w:val="00517DC4"/>
    <w:rsid w:val="0058796A"/>
    <w:rsid w:val="00605D41"/>
    <w:rsid w:val="006C6042"/>
    <w:rsid w:val="00747F3F"/>
    <w:rsid w:val="00767E98"/>
    <w:rsid w:val="007C685C"/>
    <w:rsid w:val="007C6E36"/>
    <w:rsid w:val="007F0B6D"/>
    <w:rsid w:val="00817161"/>
    <w:rsid w:val="008178FA"/>
    <w:rsid w:val="008525C7"/>
    <w:rsid w:val="008A75E4"/>
    <w:rsid w:val="0091257D"/>
    <w:rsid w:val="00A30242"/>
    <w:rsid w:val="00A7082F"/>
    <w:rsid w:val="00A923B3"/>
    <w:rsid w:val="00AE17EC"/>
    <w:rsid w:val="00B244C7"/>
    <w:rsid w:val="00B756B0"/>
    <w:rsid w:val="00BA53C3"/>
    <w:rsid w:val="00BC6AA6"/>
    <w:rsid w:val="00BC6C9D"/>
    <w:rsid w:val="00BD6E45"/>
    <w:rsid w:val="00C44E61"/>
    <w:rsid w:val="00CB2EFA"/>
    <w:rsid w:val="00D05864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D0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D0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76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6</cp:revision>
  <cp:lastPrinted>2006-09-27T16:18:00Z</cp:lastPrinted>
  <dcterms:created xsi:type="dcterms:W3CDTF">2017-03-09T18:09:00Z</dcterms:created>
  <dcterms:modified xsi:type="dcterms:W3CDTF">2017-03-10T18:58:00Z</dcterms:modified>
</cp:coreProperties>
</file>